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0118" w14:textId="4665152A" w:rsidR="00B34B09" w:rsidRPr="000B6FA2" w:rsidRDefault="006764E5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  <w:bookmarkStart w:id="0" w:name="_GoBack"/>
      <w:bookmarkEnd w:id="0"/>
      <w:r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UC </w:t>
      </w:r>
      <w:r w:rsidR="00B34B09" w:rsidRPr="7776A4FE">
        <w:rPr>
          <w:rFonts w:ascii="Open Sans" w:eastAsia="Open Sans" w:hAnsi="Open Sans" w:cs="Open Sans"/>
          <w:b/>
          <w:bCs/>
          <w:color w:val="000000" w:themeColor="text1"/>
        </w:rPr>
        <w:t>Area Health Education Center (AHEC)</w:t>
      </w:r>
      <w:r w:rsidR="00FF45E0"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 </w:t>
      </w:r>
      <w:r w:rsidRPr="7776A4FE">
        <w:rPr>
          <w:rFonts w:ascii="Open Sans" w:eastAsia="Open Sans" w:hAnsi="Open Sans" w:cs="Open Sans"/>
          <w:b/>
          <w:bCs/>
          <w:color w:val="000000" w:themeColor="text1"/>
        </w:rPr>
        <w:t>Resources</w:t>
      </w:r>
      <w:r w:rsidR="2AF5296E"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: </w:t>
      </w:r>
      <w:r w:rsidR="001A0139">
        <w:rPr>
          <w:rFonts w:ascii="Open Sans" w:eastAsia="Open Sans" w:hAnsi="Open Sans" w:cs="Open Sans"/>
          <w:b/>
          <w:bCs/>
          <w:color w:val="000000" w:themeColor="text1"/>
        </w:rPr>
        <w:t>March 2022</w:t>
      </w:r>
    </w:p>
    <w:p w14:paraId="7A5F94CF" w14:textId="562B67AB" w:rsidR="7776A4FE" w:rsidRDefault="7776A4FE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</w:p>
    <w:p w14:paraId="7EEC5A7A" w14:textId="1F120A3C" w:rsidR="03B24E56" w:rsidRDefault="03B24E56" w:rsidP="00E825A4">
      <w:pPr>
        <w:jc w:val="center"/>
        <w:rPr>
          <w:rFonts w:ascii="Open Sans" w:eastAsia="Open Sans" w:hAnsi="Open Sans" w:cs="Open Sans"/>
        </w:rPr>
      </w:pPr>
      <w:r w:rsidRPr="7776A4FE">
        <w:rPr>
          <w:rFonts w:ascii="Open Sans" w:eastAsia="Open Sans" w:hAnsi="Open Sans" w:cs="Open Sans"/>
        </w:rPr>
        <w:t>This resource guide highlights upcoming webinars</w:t>
      </w:r>
      <w:r w:rsidR="6A48E8A6" w:rsidRPr="7776A4FE">
        <w:rPr>
          <w:rFonts w:ascii="Open Sans" w:eastAsia="Open Sans" w:hAnsi="Open Sans" w:cs="Open Sans"/>
        </w:rPr>
        <w:t xml:space="preserve">, </w:t>
      </w:r>
      <w:r w:rsidRPr="7776A4FE">
        <w:rPr>
          <w:rFonts w:ascii="Open Sans" w:eastAsia="Open Sans" w:hAnsi="Open Sans" w:cs="Open Sans"/>
        </w:rPr>
        <w:t xml:space="preserve">activities </w:t>
      </w:r>
      <w:r w:rsidR="03A3ADA2" w:rsidRPr="7776A4FE">
        <w:rPr>
          <w:rFonts w:ascii="Open Sans" w:eastAsia="Open Sans" w:hAnsi="Open Sans" w:cs="Open Sans"/>
        </w:rPr>
        <w:t xml:space="preserve">and organizations </w:t>
      </w:r>
      <w:r w:rsidRPr="7776A4FE">
        <w:rPr>
          <w:rFonts w:ascii="Open Sans" w:eastAsia="Open Sans" w:hAnsi="Open Sans" w:cs="Open Sans"/>
        </w:rPr>
        <w:t xml:space="preserve">of interest </w:t>
      </w:r>
      <w:r w:rsidR="4A6274AE" w:rsidRPr="7776A4FE">
        <w:rPr>
          <w:rFonts w:ascii="Open Sans" w:eastAsia="Open Sans" w:hAnsi="Open Sans" w:cs="Open Sans"/>
        </w:rPr>
        <w:t>and is</w:t>
      </w:r>
      <w:r w:rsidRPr="7776A4FE">
        <w:rPr>
          <w:rFonts w:ascii="Open Sans" w:eastAsia="Open Sans" w:hAnsi="Open Sans" w:cs="Open Sans"/>
        </w:rPr>
        <w:t xml:space="preserve"> organized by topic and type of activity. </w:t>
      </w:r>
    </w:p>
    <w:p w14:paraId="2B6B174E" w14:textId="01A8C7EB" w:rsidR="00F90B29" w:rsidRPr="000B6FA2" w:rsidRDefault="03B24E56" w:rsidP="2132B5BD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b/>
          <w:bCs/>
          <w:i/>
          <w:iCs/>
          <w:color w:val="000000"/>
        </w:rPr>
      </w:pPr>
      <w:r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Healthcare </w:t>
      </w:r>
      <w:r w:rsidR="6FF0F6EB"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W</w:t>
      </w:r>
      <w:r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orkforce and Pipeline</w:t>
      </w:r>
    </w:p>
    <w:p w14:paraId="4E82FC68" w14:textId="57C888B6" w:rsidR="00B80682" w:rsidRDefault="00415308" w:rsidP="00B80682">
      <w:pPr>
        <w:spacing w:before="240" w:after="24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FF0000"/>
        </w:rPr>
        <w:t>REPORT</w:t>
      </w:r>
      <w:r w:rsidR="009830F6" w:rsidRPr="009830F6">
        <w:rPr>
          <w:rFonts w:ascii="Open Sans" w:hAnsi="Open Sans" w:cs="Open Sans"/>
          <w:color w:val="FF0000"/>
        </w:rPr>
        <w:t>:</w:t>
      </w:r>
      <w:r w:rsidR="009830F6">
        <w:rPr>
          <w:rFonts w:ascii="Open Sans" w:hAnsi="Open Sans" w:cs="Open Sans"/>
          <w:color w:val="000000"/>
        </w:rPr>
        <w:t xml:space="preserve"> </w:t>
      </w:r>
      <w:r w:rsidR="0002798B">
        <w:rPr>
          <w:rFonts w:ascii="Open Sans" w:hAnsi="Open Sans" w:cs="Open Sans"/>
          <w:color w:val="000000"/>
        </w:rPr>
        <w:t xml:space="preserve">Harvard Business Review’s </w:t>
      </w:r>
      <w:r w:rsidR="0002798B" w:rsidRPr="004304E5">
        <w:rPr>
          <w:rFonts w:ascii="Open Sans" w:hAnsi="Open Sans" w:cs="Open Sans"/>
          <w:i/>
          <w:iCs/>
          <w:color w:val="000000"/>
        </w:rPr>
        <w:t>“11 Trends That Will Shape Work in 2022 and Beyond”</w:t>
      </w:r>
      <w:r w:rsidR="0002798B">
        <w:rPr>
          <w:rFonts w:ascii="Open Sans" w:hAnsi="Open Sans" w:cs="Open Sans"/>
          <w:color w:val="000000"/>
        </w:rPr>
        <w:t xml:space="preserve"> shares that the level of volatility in the workplace will continue. </w:t>
      </w:r>
      <w:hyperlink r:id="rId10" w:history="1">
        <w:r w:rsidR="0002798B" w:rsidRPr="002D0D4A">
          <w:rPr>
            <w:rStyle w:val="Hyperlink"/>
            <w:rFonts w:ascii="Open Sans" w:hAnsi="Open Sans" w:cs="Open Sans"/>
          </w:rPr>
          <w:t>https://hbr.org/2022/01/11-trends-that-will-shape-work-in-2022-and-beyond</w:t>
        </w:r>
      </w:hyperlink>
    </w:p>
    <w:p w14:paraId="3DFF7333" w14:textId="58290316" w:rsidR="00547CEB" w:rsidRDefault="00547CEB" w:rsidP="00547CEB">
      <w:pPr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>COMMENTARY</w:t>
      </w:r>
      <w:r w:rsidR="00D8472F" w:rsidRPr="00E64D3D">
        <w:rPr>
          <w:rFonts w:ascii="Open Sans" w:hAnsi="Open Sans" w:cs="Open Sans"/>
          <w:color w:val="FF0000"/>
        </w:rPr>
        <w:t>:</w:t>
      </w:r>
      <w:r w:rsidR="00D8472F">
        <w:rPr>
          <w:rFonts w:ascii="Open Sans" w:hAnsi="Open Sans" w:cs="Open Sans"/>
          <w:color w:val="464646"/>
        </w:rPr>
        <w:t xml:space="preserve"> T</w:t>
      </w:r>
      <w:r>
        <w:rPr>
          <w:rFonts w:ascii="Open Sans" w:hAnsi="Open Sans" w:cs="Open Sans"/>
          <w:color w:val="464646"/>
        </w:rPr>
        <w:t xml:space="preserve">he </w:t>
      </w:r>
      <w:r w:rsidRPr="004304E5">
        <w:rPr>
          <w:rFonts w:ascii="Open Sans" w:hAnsi="Open Sans" w:cs="Open Sans"/>
          <w:color w:val="464646"/>
          <w:u w:val="single"/>
        </w:rPr>
        <w:t>“Spotlight on Poverty and Opportunity”</w:t>
      </w:r>
      <w:r>
        <w:rPr>
          <w:rFonts w:ascii="Open Sans" w:hAnsi="Open Sans" w:cs="Open Sans"/>
          <w:color w:val="464646"/>
        </w:rPr>
        <w:t xml:space="preserve"> says that significant new investments in workforce development are on the way and the field needs a new narrative that reflects current labor market realities. </w:t>
      </w:r>
      <w:hyperlink r:id="rId11" w:history="1">
        <w:r w:rsidRPr="00547CEB">
          <w:rPr>
            <w:rStyle w:val="Hyperlink"/>
            <w:rFonts w:ascii="Open Sans" w:hAnsi="Open Sans" w:cs="Open Sans"/>
          </w:rPr>
          <w:t>https://spotlightonpoverty.org/spotlight-exclusives/workforce-development-should-focus-more-on-fixing-work/</w:t>
        </w:r>
      </w:hyperlink>
    </w:p>
    <w:p w14:paraId="38683843" w14:textId="114330F1" w:rsidR="00547CEB" w:rsidRDefault="00547CEB" w:rsidP="00547CEB">
      <w:pPr>
        <w:rPr>
          <w:rFonts w:ascii="Open Sans" w:hAnsi="Open Sans" w:cs="Open Sans"/>
        </w:rPr>
      </w:pPr>
    </w:p>
    <w:p w14:paraId="59B955C8" w14:textId="67EF5E11" w:rsidR="00547CEB" w:rsidRDefault="004304E5" w:rsidP="00547CEB">
      <w:pPr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>ARTICLE</w:t>
      </w:r>
      <w:r w:rsidR="00547CEB" w:rsidRPr="00E64D3D">
        <w:rPr>
          <w:rFonts w:ascii="Open Sans" w:hAnsi="Open Sans" w:cs="Open Sans"/>
          <w:color w:val="FF0000"/>
        </w:rPr>
        <w:t>:</w:t>
      </w:r>
      <w:r w:rsidR="00547CEB">
        <w:rPr>
          <w:rFonts w:ascii="Open Sans" w:hAnsi="Open Sans" w:cs="Open Sans"/>
          <w:color w:val="464646"/>
        </w:rPr>
        <w:t xml:space="preserve"> </w:t>
      </w:r>
      <w:r>
        <w:rPr>
          <w:rFonts w:ascii="Open Sans" w:hAnsi="Open Sans" w:cs="Open Sans"/>
          <w:color w:val="464646"/>
        </w:rPr>
        <w:t>This Fortune magazine commentary highlights how building a diverse workforce starts with mentorship and sponsorship.</w:t>
      </w:r>
      <w:r w:rsidRPr="004304E5">
        <w:rPr>
          <w:rFonts w:ascii="Open Sans" w:hAnsi="Open Sans" w:cs="Open Sans"/>
        </w:rPr>
        <w:t xml:space="preserve"> </w:t>
      </w:r>
      <w:hyperlink r:id="rId12" w:history="1">
        <w:r w:rsidRPr="002D0D4A">
          <w:rPr>
            <w:rStyle w:val="Hyperlink"/>
            <w:rFonts w:ascii="Open Sans" w:hAnsi="Open Sans" w:cs="Open Sans"/>
          </w:rPr>
          <w:t>https://fortune.com/2021/07/12/workplace-diversity-black-latinx-mentorship-sponsorship-pwc/</w:t>
        </w:r>
      </w:hyperlink>
    </w:p>
    <w:p w14:paraId="64F89A2D" w14:textId="303F8EAF" w:rsidR="004514BA" w:rsidRDefault="004514BA" w:rsidP="00547CEB">
      <w:pPr>
        <w:rPr>
          <w:rFonts w:ascii="Open Sans" w:hAnsi="Open Sans" w:cs="Open Sans"/>
        </w:rPr>
      </w:pPr>
    </w:p>
    <w:p w14:paraId="586A0CB2" w14:textId="3E10480C" w:rsidR="00E64AF5" w:rsidRDefault="004514BA" w:rsidP="00547CEB">
      <w:pPr>
        <w:rPr>
          <w:rFonts w:ascii="Open Sans" w:hAnsi="Open Sans" w:cs="Open Sans"/>
          <w:color w:val="464646"/>
        </w:rPr>
      </w:pPr>
      <w:r>
        <w:rPr>
          <w:rFonts w:ascii="Open Sans" w:hAnsi="Open Sans" w:cs="Open Sans"/>
          <w:color w:val="FF0000"/>
        </w:rPr>
        <w:t>INFOGRAPHIC</w:t>
      </w:r>
      <w:r w:rsidRPr="00E64D3D">
        <w:rPr>
          <w:rFonts w:ascii="Open Sans" w:hAnsi="Open Sans" w:cs="Open Sans"/>
          <w:color w:val="FF0000"/>
        </w:rPr>
        <w:t>:</w:t>
      </w:r>
      <w:r>
        <w:rPr>
          <w:rFonts w:ascii="Open Sans" w:hAnsi="Open Sans" w:cs="Open Sans"/>
          <w:color w:val="464646"/>
        </w:rPr>
        <w:t xml:space="preserve"> This infographic from the Center for Healthcare Workforce Studies shows that New York State struggles with healthcare workforce recruitment and retention – </w:t>
      </w:r>
      <w:r w:rsidR="00E64AF5" w:rsidRPr="00E64AF5">
        <w:rPr>
          <w:rFonts w:ascii="Open Sans" w:hAnsi="Open Sans" w:cs="Open Sans"/>
          <w:color w:val="FF0000"/>
        </w:rPr>
        <w:t>SEE THE SIMILARITIES</w:t>
      </w:r>
      <w:r w:rsidRPr="00E64AF5">
        <w:rPr>
          <w:rFonts w:ascii="Open Sans" w:hAnsi="Open Sans" w:cs="Open Sans"/>
          <w:color w:val="FF0000"/>
        </w:rPr>
        <w:t>!</w:t>
      </w:r>
      <w:r w:rsidR="00E64AF5" w:rsidRPr="00E64AF5">
        <w:rPr>
          <w:rFonts w:ascii="Open Sans" w:hAnsi="Open Sans" w:cs="Open Sans"/>
          <w:color w:val="FF0000"/>
        </w:rPr>
        <w:t xml:space="preserve"> </w:t>
      </w:r>
    </w:p>
    <w:p w14:paraId="11519D5A" w14:textId="4E21B4A7" w:rsidR="004514BA" w:rsidRDefault="00B261A7" w:rsidP="00547CEB">
      <w:pPr>
        <w:rPr>
          <w:rFonts w:ascii="Open Sans" w:hAnsi="Open Sans" w:cs="Open Sans"/>
          <w:color w:val="464646"/>
        </w:rPr>
      </w:pPr>
      <w:hyperlink r:id="rId13" w:history="1">
        <w:r w:rsidR="00E64AF5" w:rsidRPr="002D0D4A">
          <w:rPr>
            <w:rStyle w:val="Hyperlink"/>
            <w:rFonts w:ascii="Open Sans" w:hAnsi="Open Sans" w:cs="Open Sans"/>
          </w:rPr>
          <w:t>https://www.chwsny.org/wp-content/uploads/2021/12/CHWS_RR_InfoGraphic_Final_Updated-1-24-22.pdf</w:t>
        </w:r>
      </w:hyperlink>
    </w:p>
    <w:p w14:paraId="535A8873" w14:textId="71F42369" w:rsidR="00D1210F" w:rsidRDefault="7E3EB2BD" w:rsidP="00ED698B">
      <w:pPr>
        <w:spacing w:before="240" w:after="240"/>
        <w:rPr>
          <w:rFonts w:ascii="Open Sans" w:eastAsia="Open Sans" w:hAnsi="Open Sans" w:cs="Open Sans"/>
          <w:b/>
          <w:bCs/>
          <w:i/>
          <w:iCs/>
          <w:color w:val="000000"/>
        </w:rPr>
      </w:pP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Strategic Regional Partnerships</w:t>
      </w:r>
    </w:p>
    <w:p w14:paraId="5FA28413" w14:textId="5951EA09" w:rsidR="00D1210F" w:rsidRDefault="000B103E" w:rsidP="00094E5D">
      <w:pPr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>WEB RESOURCE</w:t>
      </w:r>
      <w:r w:rsidR="00E825A4" w:rsidRPr="00094E5D">
        <w:rPr>
          <w:rFonts w:ascii="Open Sans" w:hAnsi="Open Sans" w:cs="Open Sans"/>
          <w:color w:val="FF0000"/>
        </w:rPr>
        <w:t>:</w:t>
      </w:r>
      <w:r w:rsidR="00E825A4" w:rsidRPr="00094E5D">
        <w:rPr>
          <w:rFonts w:ascii="Open Sans" w:hAnsi="Open Sans" w:cs="Open Sans"/>
          <w:color w:val="545454"/>
        </w:rPr>
        <w:t xml:space="preserve"> </w:t>
      </w:r>
      <w:r w:rsidR="00B935AD">
        <w:rPr>
          <w:rFonts w:ascii="Open Sans" w:hAnsi="Open Sans" w:cs="Open Sans"/>
          <w:color w:val="545454"/>
        </w:rPr>
        <w:t xml:space="preserve">THRIVE RURAL – an effort of the Aspen Institute Community Strategies Group in partnership with the University of Wisconsin Population Health Institute with support from the Robert Wood Johnson Foundation – aims to create a shared vision about what it will take for communities and Native nations across the rural US to be healthy places where everyone belongs, </w:t>
      </w:r>
      <w:r w:rsidR="000F6F7A">
        <w:rPr>
          <w:rFonts w:ascii="Open Sans" w:hAnsi="Open Sans" w:cs="Open Sans"/>
          <w:color w:val="545454"/>
        </w:rPr>
        <w:t>lives with dignity, and thrives.</w:t>
      </w:r>
      <w:r>
        <w:rPr>
          <w:rFonts w:ascii="Open Sans" w:hAnsi="Open Sans" w:cs="Open Sans"/>
          <w:color w:val="545454"/>
        </w:rPr>
        <w:t xml:space="preserve">  </w:t>
      </w:r>
      <w:hyperlink r:id="rId14" w:history="1">
        <w:r w:rsidR="000F6F7A" w:rsidRPr="002D0D4A">
          <w:rPr>
            <w:rStyle w:val="Hyperlink"/>
            <w:rFonts w:ascii="Open Sans" w:hAnsi="Open Sans" w:cs="Open Sans"/>
          </w:rPr>
          <w:t>https://www.aspeninstitute.org/programs/community-strategies-group/thrive-rural/</w:t>
        </w:r>
      </w:hyperlink>
    </w:p>
    <w:p w14:paraId="0FE0A736" w14:textId="387B8CDF" w:rsidR="00E825A4" w:rsidRPr="00094E5D" w:rsidRDefault="00E825A4" w:rsidP="00094E5D">
      <w:pPr>
        <w:rPr>
          <w:rFonts w:ascii="Open Sans" w:hAnsi="Open Sans" w:cs="Open Sans"/>
          <w:color w:val="545454"/>
        </w:rPr>
      </w:pPr>
    </w:p>
    <w:p w14:paraId="4A6ADF13" w14:textId="4581DCB5" w:rsidR="1F004D7E" w:rsidRDefault="1F004D7E" w:rsidP="7776A4FE">
      <w:pPr>
        <w:pStyle w:val="NormalWeb"/>
        <w:spacing w:before="0" w:beforeAutospacing="0" w:after="0" w:afterAutospacing="0"/>
        <w:rPr>
          <w:rFonts w:ascii="Open Sans" w:eastAsia="Open Sans" w:hAnsi="Open Sans" w:cs="Open Sans"/>
          <w:b/>
          <w:bCs/>
          <w:i/>
          <w:iCs/>
          <w:color w:val="000000" w:themeColor="text1"/>
        </w:rPr>
      </w:pP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Interprofess</w:t>
      </w:r>
      <w:r w:rsidR="00214E9B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i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onal Learners </w:t>
      </w:r>
      <w:r w:rsidR="2C88C527"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who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 Serve the Community </w:t>
      </w:r>
    </w:p>
    <w:p w14:paraId="52E56223" w14:textId="77777777" w:rsidR="00B34B09" w:rsidRPr="005D639C" w:rsidRDefault="00B34B09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i/>
          <w:iCs/>
          <w:color w:val="000000"/>
        </w:rPr>
      </w:pPr>
    </w:p>
    <w:p w14:paraId="1FD93741" w14:textId="63446F3A" w:rsidR="003069FF" w:rsidRDefault="003069FF" w:rsidP="003069FF">
      <w:pPr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>REPORT</w:t>
      </w:r>
      <w:r w:rsidRPr="00E64D3D">
        <w:rPr>
          <w:rFonts w:ascii="Open Sans" w:hAnsi="Open Sans" w:cs="Open Sans"/>
          <w:color w:val="FF0000"/>
        </w:rPr>
        <w:t>:</w:t>
      </w:r>
      <w:r>
        <w:rPr>
          <w:rFonts w:ascii="Open Sans" w:hAnsi="Open Sans" w:cs="Open Sans"/>
          <w:color w:val="464646"/>
        </w:rPr>
        <w:t xml:space="preserve"> This Agency for Healthcare Research and Quality Report has summarized the </w:t>
      </w:r>
      <w:r w:rsidR="004304E5">
        <w:rPr>
          <w:rFonts w:ascii="Open Sans" w:hAnsi="Open Sans" w:cs="Open Sans"/>
          <w:color w:val="464646"/>
        </w:rPr>
        <w:t xml:space="preserve">data on </w:t>
      </w:r>
      <w:r>
        <w:rPr>
          <w:rFonts w:ascii="Open Sans" w:hAnsi="Open Sans" w:cs="Open Sans"/>
          <w:color w:val="464646"/>
        </w:rPr>
        <w:t xml:space="preserve">health and healthcare delivery in the US since 2003. Here is the 2021 Executive Summary. </w:t>
      </w:r>
      <w:hyperlink r:id="rId15" w:history="1">
        <w:r w:rsidRPr="002D0D4A">
          <w:rPr>
            <w:rStyle w:val="Hyperlink"/>
            <w:rFonts w:ascii="Open Sans" w:hAnsi="Open Sans" w:cs="Open Sans"/>
          </w:rPr>
          <w:t>https://www.ahrq.gov/sites/default/files/wysiwyg/research/findings/nhqrdr/2021qdr-final-es.pdf</w:t>
        </w:r>
      </w:hyperlink>
    </w:p>
    <w:p w14:paraId="60583787" w14:textId="6B298902" w:rsidR="00301202" w:rsidRDefault="00301202" w:rsidP="00301202">
      <w:pPr>
        <w:rPr>
          <w:rFonts w:ascii="Open Sans" w:hAnsi="Open Sans" w:cs="Open Sans"/>
        </w:rPr>
      </w:pPr>
    </w:p>
    <w:p w14:paraId="2B2EBB7D" w14:textId="3BF27AA7" w:rsidR="0091491F" w:rsidRDefault="00301202" w:rsidP="00301202">
      <w:p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14:paraId="28AB292A" w14:textId="77777777" w:rsidR="0091491F" w:rsidRPr="0091491F" w:rsidRDefault="0091491F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color w:val="000000"/>
        </w:rPr>
      </w:pPr>
    </w:p>
    <w:sectPr w:rsidR="0091491F" w:rsidRPr="0091491F" w:rsidSect="006E5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2095" w14:textId="77777777" w:rsidR="005B0129" w:rsidRDefault="005B0129" w:rsidP="003315AF">
      <w:r>
        <w:separator/>
      </w:r>
    </w:p>
  </w:endnote>
  <w:endnote w:type="continuationSeparator" w:id="0">
    <w:p w14:paraId="2A39BF51" w14:textId="77777777" w:rsidR="005B0129" w:rsidRDefault="005B0129" w:rsidP="0033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0166" w14:textId="77777777" w:rsidR="005B0129" w:rsidRDefault="005B0129" w:rsidP="003315AF">
      <w:r>
        <w:separator/>
      </w:r>
    </w:p>
  </w:footnote>
  <w:footnote w:type="continuationSeparator" w:id="0">
    <w:p w14:paraId="7616862F" w14:textId="77777777" w:rsidR="005B0129" w:rsidRDefault="005B0129" w:rsidP="0033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102E"/>
    <w:multiLevelType w:val="multilevel"/>
    <w:tmpl w:val="E85CD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00891"/>
    <w:multiLevelType w:val="multilevel"/>
    <w:tmpl w:val="C80E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B06"/>
    <w:multiLevelType w:val="hybridMultilevel"/>
    <w:tmpl w:val="189A1816"/>
    <w:lvl w:ilvl="0" w:tplc="5344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E6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868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24E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E06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A06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CF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EED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E9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4BAE"/>
    <w:multiLevelType w:val="hybridMultilevel"/>
    <w:tmpl w:val="9CF2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066E8"/>
    <w:multiLevelType w:val="multilevel"/>
    <w:tmpl w:val="977C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816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410BD5"/>
    <w:multiLevelType w:val="hybridMultilevel"/>
    <w:tmpl w:val="3E80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412FC"/>
    <w:multiLevelType w:val="hybridMultilevel"/>
    <w:tmpl w:val="FC586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246D"/>
    <w:multiLevelType w:val="multilevel"/>
    <w:tmpl w:val="69E2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429E2"/>
    <w:multiLevelType w:val="multilevel"/>
    <w:tmpl w:val="E2B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51483"/>
    <w:multiLevelType w:val="hybridMultilevel"/>
    <w:tmpl w:val="4EE28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67C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61B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C76625"/>
    <w:multiLevelType w:val="hybridMultilevel"/>
    <w:tmpl w:val="B588A57E"/>
    <w:lvl w:ilvl="0" w:tplc="647C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6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4C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0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5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07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2D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E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28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8569A"/>
    <w:multiLevelType w:val="hybridMultilevel"/>
    <w:tmpl w:val="46860F8A"/>
    <w:lvl w:ilvl="0" w:tplc="1F5419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A7E8FC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848EA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0CCE9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8EBAF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8B90B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3E0A7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782814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58EA6A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F6DE0"/>
    <w:multiLevelType w:val="multilevel"/>
    <w:tmpl w:val="F85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3"/>
    <w:lvlOverride w:ilvl="1">
      <w:lvl w:ilvl="1" w:tplc="66E6E09E">
        <w:numFmt w:val="lowerLetter"/>
        <w:lvlText w:val="%2."/>
        <w:lvlJc w:val="left"/>
      </w:lvl>
    </w:lvlOverride>
  </w:num>
  <w:num w:numId="10">
    <w:abstractNumId w:val="15"/>
  </w:num>
  <w:num w:numId="11">
    <w:abstractNumId w:val="0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78"/>
    <w:rsid w:val="0002798B"/>
    <w:rsid w:val="00094E5D"/>
    <w:rsid w:val="000B103E"/>
    <w:rsid w:val="000B6FA2"/>
    <w:rsid w:val="000F6F7A"/>
    <w:rsid w:val="000F796F"/>
    <w:rsid w:val="00100DAD"/>
    <w:rsid w:val="00110658"/>
    <w:rsid w:val="001743AA"/>
    <w:rsid w:val="00184F27"/>
    <w:rsid w:val="001A0139"/>
    <w:rsid w:val="001B5C2F"/>
    <w:rsid w:val="001E5571"/>
    <w:rsid w:val="00214E9B"/>
    <w:rsid w:val="002A3EB5"/>
    <w:rsid w:val="00301202"/>
    <w:rsid w:val="003069FF"/>
    <w:rsid w:val="003142DC"/>
    <w:rsid w:val="00327B6F"/>
    <w:rsid w:val="003315AF"/>
    <w:rsid w:val="00376352"/>
    <w:rsid w:val="00392BF0"/>
    <w:rsid w:val="003A1478"/>
    <w:rsid w:val="003E4360"/>
    <w:rsid w:val="003E54A2"/>
    <w:rsid w:val="00415308"/>
    <w:rsid w:val="004304E5"/>
    <w:rsid w:val="004514BA"/>
    <w:rsid w:val="00542F32"/>
    <w:rsid w:val="005463A0"/>
    <w:rsid w:val="00547CEB"/>
    <w:rsid w:val="0059346A"/>
    <w:rsid w:val="005B0129"/>
    <w:rsid w:val="005B5520"/>
    <w:rsid w:val="005D639C"/>
    <w:rsid w:val="005F53D3"/>
    <w:rsid w:val="0063688D"/>
    <w:rsid w:val="00672420"/>
    <w:rsid w:val="00675938"/>
    <w:rsid w:val="006764E5"/>
    <w:rsid w:val="006B0D74"/>
    <w:rsid w:val="006E5F4E"/>
    <w:rsid w:val="00741BF7"/>
    <w:rsid w:val="0076036B"/>
    <w:rsid w:val="007647E6"/>
    <w:rsid w:val="007829ED"/>
    <w:rsid w:val="007931B9"/>
    <w:rsid w:val="007E2F1C"/>
    <w:rsid w:val="00807645"/>
    <w:rsid w:val="00874B3A"/>
    <w:rsid w:val="008D4D36"/>
    <w:rsid w:val="008E10A1"/>
    <w:rsid w:val="0091491F"/>
    <w:rsid w:val="009503D4"/>
    <w:rsid w:val="009575AB"/>
    <w:rsid w:val="00957721"/>
    <w:rsid w:val="00961151"/>
    <w:rsid w:val="009830F6"/>
    <w:rsid w:val="009842BD"/>
    <w:rsid w:val="009842FD"/>
    <w:rsid w:val="009C49E7"/>
    <w:rsid w:val="009C73BC"/>
    <w:rsid w:val="00A020E0"/>
    <w:rsid w:val="00A64663"/>
    <w:rsid w:val="00A66EBE"/>
    <w:rsid w:val="00A958F1"/>
    <w:rsid w:val="00AA14ED"/>
    <w:rsid w:val="00AB337F"/>
    <w:rsid w:val="00B02AF7"/>
    <w:rsid w:val="00B05BEC"/>
    <w:rsid w:val="00B261A7"/>
    <w:rsid w:val="00B33A55"/>
    <w:rsid w:val="00B34B09"/>
    <w:rsid w:val="00B41D81"/>
    <w:rsid w:val="00B646B0"/>
    <w:rsid w:val="00B7664B"/>
    <w:rsid w:val="00B80682"/>
    <w:rsid w:val="00B935AD"/>
    <w:rsid w:val="00C632F1"/>
    <w:rsid w:val="00C72CEE"/>
    <w:rsid w:val="00CA3199"/>
    <w:rsid w:val="00CD03AF"/>
    <w:rsid w:val="00D1210F"/>
    <w:rsid w:val="00D82FDE"/>
    <w:rsid w:val="00D8472F"/>
    <w:rsid w:val="00DB64CD"/>
    <w:rsid w:val="00DC2F25"/>
    <w:rsid w:val="00DE6DB2"/>
    <w:rsid w:val="00E462FC"/>
    <w:rsid w:val="00E47877"/>
    <w:rsid w:val="00E64AF5"/>
    <w:rsid w:val="00E64D3D"/>
    <w:rsid w:val="00E825A4"/>
    <w:rsid w:val="00EB1265"/>
    <w:rsid w:val="00ED698B"/>
    <w:rsid w:val="00EF139B"/>
    <w:rsid w:val="00EF65B2"/>
    <w:rsid w:val="00F237FB"/>
    <w:rsid w:val="00F74EF7"/>
    <w:rsid w:val="00F90B29"/>
    <w:rsid w:val="00F97778"/>
    <w:rsid w:val="00FA13DC"/>
    <w:rsid w:val="00FE0EF5"/>
    <w:rsid w:val="00FE1EEC"/>
    <w:rsid w:val="00FF45E0"/>
    <w:rsid w:val="024AE1B8"/>
    <w:rsid w:val="0273501B"/>
    <w:rsid w:val="03A3ADA2"/>
    <w:rsid w:val="03B24E56"/>
    <w:rsid w:val="04896624"/>
    <w:rsid w:val="04E1DE53"/>
    <w:rsid w:val="0533BD0A"/>
    <w:rsid w:val="061BE966"/>
    <w:rsid w:val="0717675D"/>
    <w:rsid w:val="0749CCEB"/>
    <w:rsid w:val="08AEABC4"/>
    <w:rsid w:val="099156E8"/>
    <w:rsid w:val="099C5B82"/>
    <w:rsid w:val="09D9959F"/>
    <w:rsid w:val="0A53AD7B"/>
    <w:rsid w:val="0B2D2749"/>
    <w:rsid w:val="0BFE3182"/>
    <w:rsid w:val="0D5AA077"/>
    <w:rsid w:val="0EABF4CD"/>
    <w:rsid w:val="0EC1B867"/>
    <w:rsid w:val="0F03041B"/>
    <w:rsid w:val="105BD88C"/>
    <w:rsid w:val="1410EE8E"/>
    <w:rsid w:val="149180BB"/>
    <w:rsid w:val="1801E781"/>
    <w:rsid w:val="1A1C4ED7"/>
    <w:rsid w:val="1DA6794C"/>
    <w:rsid w:val="1DB316FE"/>
    <w:rsid w:val="1F004D7E"/>
    <w:rsid w:val="2132B5BD"/>
    <w:rsid w:val="21AB3784"/>
    <w:rsid w:val="249CB656"/>
    <w:rsid w:val="29258164"/>
    <w:rsid w:val="2A3721FE"/>
    <w:rsid w:val="2A38D159"/>
    <w:rsid w:val="2AF5296E"/>
    <w:rsid w:val="2AF57C70"/>
    <w:rsid w:val="2B1CB268"/>
    <w:rsid w:val="2BB386CA"/>
    <w:rsid w:val="2BF82EFA"/>
    <w:rsid w:val="2C88C527"/>
    <w:rsid w:val="30CF60C9"/>
    <w:rsid w:val="318D9815"/>
    <w:rsid w:val="31D5E764"/>
    <w:rsid w:val="353745AB"/>
    <w:rsid w:val="3596B63E"/>
    <w:rsid w:val="36492723"/>
    <w:rsid w:val="372C1BF2"/>
    <w:rsid w:val="38BD89A5"/>
    <w:rsid w:val="3CEA63DB"/>
    <w:rsid w:val="3FD42A29"/>
    <w:rsid w:val="418095CF"/>
    <w:rsid w:val="46268E99"/>
    <w:rsid w:val="479F8D5C"/>
    <w:rsid w:val="47CEAFA5"/>
    <w:rsid w:val="499B5B3F"/>
    <w:rsid w:val="4A6274AE"/>
    <w:rsid w:val="4F00BDBD"/>
    <w:rsid w:val="5084FCA5"/>
    <w:rsid w:val="5093A242"/>
    <w:rsid w:val="50C7E9A0"/>
    <w:rsid w:val="52F636E2"/>
    <w:rsid w:val="53399E1E"/>
    <w:rsid w:val="554540F7"/>
    <w:rsid w:val="55EA4C33"/>
    <w:rsid w:val="585D621F"/>
    <w:rsid w:val="593CF000"/>
    <w:rsid w:val="5AD1571F"/>
    <w:rsid w:val="5C3968AF"/>
    <w:rsid w:val="5D7E4023"/>
    <w:rsid w:val="5E08F7E1"/>
    <w:rsid w:val="5F8782E5"/>
    <w:rsid w:val="5FD07A20"/>
    <w:rsid w:val="609BDCCF"/>
    <w:rsid w:val="613100ED"/>
    <w:rsid w:val="61AF0030"/>
    <w:rsid w:val="625C9FB1"/>
    <w:rsid w:val="62840212"/>
    <w:rsid w:val="62A1F8FD"/>
    <w:rsid w:val="641C563A"/>
    <w:rsid w:val="661B9623"/>
    <w:rsid w:val="66B2E18B"/>
    <w:rsid w:val="67467AAD"/>
    <w:rsid w:val="67948AD0"/>
    <w:rsid w:val="6796B1CA"/>
    <w:rsid w:val="6846ACBE"/>
    <w:rsid w:val="692FF6A5"/>
    <w:rsid w:val="69658228"/>
    <w:rsid w:val="6A48E8A6"/>
    <w:rsid w:val="6C6C2EE2"/>
    <w:rsid w:val="6C852303"/>
    <w:rsid w:val="6CCD3168"/>
    <w:rsid w:val="6DB88DEC"/>
    <w:rsid w:val="6FF0F6EB"/>
    <w:rsid w:val="7776A4FE"/>
    <w:rsid w:val="7941666E"/>
    <w:rsid w:val="7C1B5634"/>
    <w:rsid w:val="7E3EB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A35E0"/>
  <w15:chartTrackingRefBased/>
  <w15:docId w15:val="{259F9805-ED74-B349-ADB0-9FDE8F4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D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466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3688D"/>
  </w:style>
  <w:style w:type="paragraph" w:styleId="Header">
    <w:name w:val="header"/>
    <w:basedOn w:val="Normal"/>
    <w:link w:val="HeaderChar"/>
    <w:uiPriority w:val="99"/>
    <w:unhideWhenUsed/>
    <w:rsid w:val="0033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AF"/>
  </w:style>
  <w:style w:type="paragraph" w:styleId="Footer">
    <w:name w:val="footer"/>
    <w:basedOn w:val="Normal"/>
    <w:link w:val="FooterChar"/>
    <w:uiPriority w:val="99"/>
    <w:unhideWhenUsed/>
    <w:rsid w:val="0033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AF"/>
  </w:style>
  <w:style w:type="character" w:styleId="FollowedHyperlink">
    <w:name w:val="FollowedHyperlink"/>
    <w:basedOn w:val="DefaultParagraphFont"/>
    <w:uiPriority w:val="99"/>
    <w:semiHidden/>
    <w:unhideWhenUsed/>
    <w:rsid w:val="005D63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wsny.org/wp-content/uploads/2021/12/CHWS_RR_InfoGraphic_Final_Updated-1-24-2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tune.com/2021/07/12/workplace-diversity-black-latinx-mentorship-sponsorship-pw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tlightonpoverty.org/spotlight-exclusives/workforce-development-should-focus-more-on-fixing-wor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hrq.gov/sites/default/files/wysiwyg/research/findings/nhqrdr/2021qdr-final-es.pdf" TargetMode="External"/><Relationship Id="rId10" Type="http://schemas.openxmlformats.org/officeDocument/2006/relationships/hyperlink" Target="https://hbr.org/2022/01/11-trends-that-will-shape-work-in-2022-and-beyo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speninstitute.org/programs/community-strategies-group/thrive-ru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D6FB0D7FBCB4BBC48455B7B56BCC0" ma:contentTypeVersion="11" ma:contentTypeDescription="Create a new document." ma:contentTypeScope="" ma:versionID="621621ce7883c933cf4f11085e604408">
  <xsd:schema xmlns:xsd="http://www.w3.org/2001/XMLSchema" xmlns:xs="http://www.w3.org/2001/XMLSchema" xmlns:p="http://schemas.microsoft.com/office/2006/metadata/properties" xmlns:ns3="e4cfcce5-7e34-4fca-bd30-8491999974b6" targetNamespace="http://schemas.microsoft.com/office/2006/metadata/properties" ma:root="true" ma:fieldsID="1b54fa5b92df3819e2fa1c08ab76bc05" ns3:_="">
    <xsd:import namespace="e4cfcce5-7e34-4fca-bd30-849199997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fcce5-7e34-4fca-bd30-849199997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59ECA-3ABD-4801-AA82-109C0641B0A7}">
  <ds:schemaRefs>
    <ds:schemaRef ds:uri="http://schemas.microsoft.com/office/2006/metadata/properties"/>
    <ds:schemaRef ds:uri="http://schemas.microsoft.com/office/2006/documentManagement/types"/>
    <ds:schemaRef ds:uri="e4cfcce5-7e34-4fca-bd30-8491999974b6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0E2D6-7F0F-4B71-85A3-597EA86CF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68653-106F-4CC0-AC61-6F1C984CE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fcce5-7e34-4fca-bd30-849199997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Pickle, Sarah (picklesr)</dc:creator>
  <cp:keywords/>
  <dc:description/>
  <cp:lastModifiedBy>O'Shaughnessy, Taylor (oshaugbt)</cp:lastModifiedBy>
  <cp:revision>2</cp:revision>
  <dcterms:created xsi:type="dcterms:W3CDTF">2022-03-14T13:19:00Z</dcterms:created>
  <dcterms:modified xsi:type="dcterms:W3CDTF">2022-03-14T13:19:00Z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0x010100703D6FB0D7FBCB4BBC48455B7B56BCC0</vt:lpwstr>
  </property>
</Properties>
</file>